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bookmarkStart w:id="0" w:name="_GoBack"/>
      <w:bookmarkEnd w:id="0"/>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114"/>
        <w:gridCol w:w="5146"/>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135754BA" w:rsidR="00236608" w:rsidRPr="000C0B6C" w:rsidRDefault="009D02D5" w:rsidP="009A6B72">
            <w:proofErr w:type="spellStart"/>
            <w:r>
              <w:t>Agbaegbu</w:t>
            </w:r>
            <w:proofErr w:type="spellEnd"/>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185A2C7A" w:rsidR="00236608" w:rsidRPr="000C0B6C" w:rsidRDefault="009D02D5" w:rsidP="009A6B72">
            <w:proofErr w:type="spellStart"/>
            <w:r>
              <w:t>Edel</w:t>
            </w:r>
            <w:proofErr w:type="spellEnd"/>
            <w:r>
              <w:t>-Quinn</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77777777" w:rsidR="00236608" w:rsidRPr="000C0B6C" w:rsidRDefault="00236608" w:rsidP="009A6B72"/>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5669140B" w:rsidR="00236608" w:rsidRPr="000C0B6C" w:rsidRDefault="009D02D5" w:rsidP="009A6B72">
            <w:r>
              <w:t>Every Woman Hope Centre (EWHC)</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6185CBCC" w14:textId="77777777" w:rsidR="009D02D5" w:rsidRDefault="009D02D5" w:rsidP="009D02D5"/>
          <w:p w14:paraId="1BEACDEF" w14:textId="730CFA49" w:rsidR="00236608" w:rsidRPr="000C0B6C" w:rsidRDefault="009D02D5" w:rsidP="009D02D5">
            <w:r>
              <w:t xml:space="preserve">Suite 34, Dansville Plaza, No: </w:t>
            </w:r>
            <w:r>
              <w:t xml:space="preserve">5 David </w:t>
            </w:r>
            <w:proofErr w:type="spellStart"/>
            <w:r>
              <w:t>Ejoor</w:t>
            </w:r>
            <w:proofErr w:type="spellEnd"/>
            <w:r>
              <w:t xml:space="preserve"> Crescent, </w:t>
            </w:r>
            <w:proofErr w:type="spellStart"/>
            <w:r>
              <w:t>Durunmi</w:t>
            </w:r>
            <w:proofErr w:type="spellEnd"/>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7D511365" w:rsidR="00236608" w:rsidRPr="000C0B6C" w:rsidRDefault="009D02D5" w:rsidP="009A6B72">
            <w:r>
              <w:t>FCT Abuja</w:t>
            </w:r>
            <w:r>
              <w:t xml:space="preserve">     </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00A775A5" w:rsidR="00236608" w:rsidRPr="000C0B6C" w:rsidRDefault="009D02D5" w:rsidP="009A6B72">
            <w:r>
              <w:t>Nigeria</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1694D701" w:rsidR="00236608" w:rsidRPr="000C0B6C" w:rsidRDefault="008412A8" w:rsidP="009A6B72">
            <w:r>
              <w:t>900104</w:t>
            </w:r>
          </w:p>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186D3635" w:rsidR="00236608" w:rsidRPr="000C0B6C" w:rsidRDefault="009D02D5" w:rsidP="009A6B72">
            <w:r w:rsidRPr="009D02D5">
              <w:t>+234(0)7055881464</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CommentSubject"/>
              <w:rPr>
                <w:sz w:val="22"/>
                <w:szCs w:val="22"/>
              </w:rPr>
            </w:pPr>
            <w:r w:rsidRPr="000C0B6C">
              <w:rPr>
                <w:sz w:val="22"/>
                <w:szCs w:val="22"/>
              </w:rPr>
              <w:t>E-mail:</w:t>
            </w:r>
          </w:p>
        </w:tc>
        <w:tc>
          <w:tcPr>
            <w:tcW w:w="5222" w:type="dxa"/>
          </w:tcPr>
          <w:p w14:paraId="118A29DB" w14:textId="4817C937" w:rsidR="008412A8" w:rsidRPr="000C0B6C" w:rsidRDefault="008412A8" w:rsidP="009A6B72">
            <w:r w:rsidRPr="008412A8">
              <w:t xml:space="preserve">ewhcnigeria@gmail.com  </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21962F86" w14:textId="77777777" w:rsidR="001970D9"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draft template for the seventh and eighth national reports, as well as the introduction to the template.</w:t>
            </w:r>
          </w:p>
          <w:p w14:paraId="70602713" w14:textId="77777777" w:rsidR="00F33D34" w:rsidRDefault="00F33D34" w:rsidP="00AD15C3">
            <w:pPr>
              <w:jc w:val="both"/>
              <w:rPr>
                <w:sz w:val="22"/>
                <w:szCs w:val="22"/>
              </w:rPr>
            </w:pPr>
          </w:p>
          <w:p w14:paraId="51ECA6A1" w14:textId="0FD06F05" w:rsidR="008412A8" w:rsidRDefault="003A531B" w:rsidP="001B3771">
            <w:pPr>
              <w:pStyle w:val="ListParagraph"/>
              <w:numPr>
                <w:ilvl w:val="0"/>
                <w:numId w:val="6"/>
              </w:numPr>
              <w:jc w:val="both"/>
              <w:rPr>
                <w:b/>
                <w:i/>
                <w:sz w:val="22"/>
                <w:szCs w:val="22"/>
                <w:lang w:eastAsia="en-GB"/>
              </w:rPr>
            </w:pPr>
            <w:r w:rsidRPr="008506BD">
              <w:rPr>
                <w:b/>
                <w:i/>
                <w:sz w:val="22"/>
                <w:szCs w:val="22"/>
              </w:rPr>
              <w:t xml:space="preserve">EWHC supports </w:t>
            </w:r>
            <w:r w:rsidR="00617896" w:rsidRPr="008506BD">
              <w:rPr>
                <w:b/>
                <w:i/>
                <w:sz w:val="22"/>
                <w:szCs w:val="22"/>
                <w:lang w:eastAsia="en-GB"/>
              </w:rPr>
              <w:t>the structure of the draft template</w:t>
            </w:r>
            <w:r w:rsidR="00AD15C3" w:rsidRPr="008506BD">
              <w:rPr>
                <w:b/>
                <w:i/>
                <w:sz w:val="22"/>
                <w:szCs w:val="22"/>
                <w:lang w:eastAsia="en-GB"/>
              </w:rPr>
              <w:t xml:space="preserve"> for the 7th and 8th national reports</w:t>
            </w:r>
            <w:r w:rsidRPr="008506BD">
              <w:rPr>
                <w:b/>
                <w:i/>
                <w:sz w:val="22"/>
                <w:szCs w:val="22"/>
                <w:lang w:eastAsia="en-GB"/>
              </w:rPr>
              <w:t>, which is</w:t>
            </w:r>
            <w:r w:rsidR="00FB381C" w:rsidRPr="008506BD">
              <w:rPr>
                <w:b/>
                <w:i/>
                <w:sz w:val="22"/>
                <w:szCs w:val="22"/>
                <w:lang w:eastAsia="en-GB"/>
              </w:rPr>
              <w:t xml:space="preserve"> not complicated </w:t>
            </w:r>
            <w:r w:rsidR="008F549C" w:rsidRPr="008506BD">
              <w:rPr>
                <w:b/>
                <w:i/>
                <w:sz w:val="22"/>
                <w:szCs w:val="22"/>
                <w:lang w:eastAsia="en-GB"/>
              </w:rPr>
              <w:t>and</w:t>
            </w:r>
            <w:r w:rsidR="00F33D34" w:rsidRPr="008506BD">
              <w:rPr>
                <w:b/>
                <w:i/>
                <w:sz w:val="22"/>
                <w:szCs w:val="22"/>
                <w:lang w:eastAsia="en-GB"/>
              </w:rPr>
              <w:t xml:space="preserve"> </w:t>
            </w:r>
            <w:r w:rsidR="00FB381C" w:rsidRPr="008506BD">
              <w:rPr>
                <w:b/>
                <w:i/>
                <w:sz w:val="22"/>
                <w:szCs w:val="22"/>
                <w:lang w:eastAsia="en-GB"/>
              </w:rPr>
              <w:t xml:space="preserve">facilitates </w:t>
            </w:r>
            <w:r w:rsidRPr="008506BD">
              <w:rPr>
                <w:b/>
                <w:i/>
                <w:sz w:val="22"/>
                <w:szCs w:val="22"/>
                <w:lang w:eastAsia="en-GB"/>
              </w:rPr>
              <w:t>nation</w:t>
            </w:r>
            <w:r w:rsidR="00FC1729" w:rsidRPr="008506BD">
              <w:rPr>
                <w:b/>
                <w:i/>
                <w:sz w:val="22"/>
                <w:szCs w:val="22"/>
                <w:lang w:eastAsia="en-GB"/>
              </w:rPr>
              <w:t xml:space="preserve">al </w:t>
            </w:r>
            <w:r w:rsidR="00FB381C" w:rsidRPr="008506BD">
              <w:rPr>
                <w:b/>
                <w:i/>
                <w:sz w:val="22"/>
                <w:szCs w:val="22"/>
                <w:lang w:eastAsia="en-GB"/>
              </w:rPr>
              <w:t>reporting</w:t>
            </w:r>
            <w:r w:rsidR="00617896" w:rsidRPr="008506BD">
              <w:rPr>
                <w:b/>
                <w:i/>
                <w:sz w:val="22"/>
                <w:szCs w:val="22"/>
                <w:lang w:eastAsia="en-GB"/>
              </w:rPr>
              <w:t xml:space="preserve"> </w:t>
            </w:r>
            <w:r w:rsidRPr="008506BD">
              <w:rPr>
                <w:b/>
                <w:i/>
                <w:sz w:val="22"/>
                <w:szCs w:val="22"/>
                <w:lang w:eastAsia="en-GB"/>
              </w:rPr>
              <w:t xml:space="preserve">of </w:t>
            </w:r>
            <w:r w:rsidR="00617896" w:rsidRPr="008506BD">
              <w:rPr>
                <w:b/>
                <w:i/>
                <w:sz w:val="22"/>
                <w:szCs w:val="22"/>
                <w:lang w:eastAsia="en-GB"/>
              </w:rPr>
              <w:t>outcome</w:t>
            </w:r>
            <w:r w:rsidRPr="008506BD">
              <w:rPr>
                <w:b/>
                <w:i/>
                <w:sz w:val="22"/>
                <w:szCs w:val="22"/>
                <w:lang w:eastAsia="en-GB"/>
              </w:rPr>
              <w:t xml:space="preserve"> and </w:t>
            </w:r>
            <w:r w:rsidRPr="008506BD">
              <w:rPr>
                <w:b/>
                <w:i/>
                <w:sz w:val="22"/>
                <w:szCs w:val="22"/>
                <w:lang w:eastAsia="en-GB"/>
              </w:rPr>
              <w:t xml:space="preserve">relevant </w:t>
            </w:r>
            <w:r w:rsidRPr="008506BD">
              <w:rPr>
                <w:b/>
                <w:i/>
                <w:sz w:val="22"/>
                <w:szCs w:val="22"/>
                <w:lang w:eastAsia="en-GB"/>
              </w:rPr>
              <w:t>information for increased knowledge</w:t>
            </w:r>
            <w:r w:rsidR="008F549C" w:rsidRPr="008506BD">
              <w:rPr>
                <w:b/>
                <w:i/>
                <w:sz w:val="22"/>
                <w:szCs w:val="22"/>
                <w:lang w:eastAsia="en-GB"/>
              </w:rPr>
              <w:t>.</w:t>
            </w:r>
            <w:r w:rsidRPr="008506BD">
              <w:rPr>
                <w:b/>
                <w:i/>
                <w:sz w:val="22"/>
                <w:szCs w:val="22"/>
                <w:lang w:eastAsia="en-GB"/>
              </w:rPr>
              <w:t xml:space="preserve"> </w:t>
            </w:r>
          </w:p>
          <w:p w14:paraId="74974EC0" w14:textId="77777777" w:rsidR="001B3771" w:rsidRDefault="001B3771" w:rsidP="001B3771">
            <w:pPr>
              <w:pStyle w:val="ListParagraph"/>
              <w:jc w:val="both"/>
              <w:rPr>
                <w:b/>
                <w:i/>
                <w:sz w:val="22"/>
                <w:szCs w:val="22"/>
                <w:lang w:eastAsia="en-GB"/>
              </w:rPr>
            </w:pPr>
          </w:p>
          <w:p w14:paraId="4A3FD401" w14:textId="0DB50541" w:rsidR="001B3771" w:rsidRPr="001B3771" w:rsidRDefault="001B3771" w:rsidP="001B3771">
            <w:pPr>
              <w:pStyle w:val="ListParagraph"/>
              <w:numPr>
                <w:ilvl w:val="0"/>
                <w:numId w:val="6"/>
              </w:numPr>
              <w:jc w:val="both"/>
              <w:rPr>
                <w:b/>
                <w:i/>
                <w:sz w:val="22"/>
                <w:szCs w:val="22"/>
                <w:lang w:eastAsia="en-GB"/>
              </w:rPr>
            </w:pPr>
            <w:r>
              <w:rPr>
                <w:b/>
                <w:i/>
                <w:sz w:val="22"/>
                <w:szCs w:val="22"/>
                <w:lang w:eastAsia="en-GB"/>
              </w:rPr>
              <w:t xml:space="preserve">The template </w:t>
            </w:r>
          </w:p>
          <w:p w14:paraId="1C5D113D" w14:textId="7BB7E51A" w:rsidR="00AE7B80" w:rsidRPr="00414EDF" w:rsidRDefault="00AE7B80"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420C39CC"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6FFC2F5B" w14:textId="77777777" w:rsidR="0059549C" w:rsidRDefault="0059549C" w:rsidP="008A6047">
            <w:pPr>
              <w:rPr>
                <w:sz w:val="22"/>
                <w:szCs w:val="22"/>
              </w:rPr>
            </w:pPr>
          </w:p>
          <w:p w14:paraId="38B19824" w14:textId="7BFE0CF3" w:rsidR="0059549C" w:rsidRPr="008506BD" w:rsidRDefault="0059549C" w:rsidP="008A6047">
            <w:pPr>
              <w:pStyle w:val="ListParagraph"/>
              <w:numPr>
                <w:ilvl w:val="0"/>
                <w:numId w:val="4"/>
              </w:numPr>
              <w:spacing w:before="200" w:after="240"/>
              <w:jc w:val="both"/>
              <w:rPr>
                <w:b/>
                <w:i/>
                <w:sz w:val="22"/>
                <w:szCs w:val="22"/>
                <w:lang w:eastAsia="en-GB"/>
              </w:rPr>
            </w:pPr>
            <w:r w:rsidRPr="008506BD">
              <w:rPr>
                <w:b/>
                <w:i/>
                <w:sz w:val="22"/>
                <w:szCs w:val="22"/>
                <w:lang w:eastAsia="en-GB"/>
              </w:rPr>
              <w:lastRenderedPageBreak/>
              <w:t xml:space="preserve">The template provides a suitable working document for </w:t>
            </w:r>
            <w:r w:rsidRPr="008506BD">
              <w:rPr>
                <w:b/>
                <w:i/>
                <w:sz w:val="22"/>
                <w:szCs w:val="22"/>
                <w:lang w:eastAsia="en-GB"/>
              </w:rPr>
              <w:t xml:space="preserve">easy navigation, as well as </w:t>
            </w:r>
            <w:r w:rsidRPr="008506BD">
              <w:rPr>
                <w:b/>
                <w:i/>
                <w:sz w:val="22"/>
                <w:szCs w:val="22"/>
                <w:lang w:eastAsia="en-GB"/>
              </w:rPr>
              <w:t>effective information generation and knowledge sharing</w:t>
            </w:r>
            <w:r w:rsidRPr="008506BD">
              <w:rPr>
                <w:b/>
                <w:i/>
                <w:sz w:val="22"/>
                <w:szCs w:val="22"/>
                <w:lang w:eastAsia="en-GB"/>
              </w:rPr>
              <w:t xml:space="preserve"> platform</w:t>
            </w:r>
            <w:r w:rsidRPr="008506BD">
              <w:rPr>
                <w:b/>
                <w:i/>
                <w:sz w:val="22"/>
                <w:szCs w:val="22"/>
                <w:lang w:eastAsia="en-GB"/>
              </w:rPr>
              <w:t>.</w:t>
            </w:r>
          </w:p>
          <w:p w14:paraId="2F8E3A8A" w14:textId="77777777" w:rsidR="006F161F" w:rsidRPr="008506BD" w:rsidRDefault="006F161F" w:rsidP="006F161F">
            <w:pPr>
              <w:pStyle w:val="ListParagraph"/>
              <w:spacing w:before="200" w:after="240"/>
              <w:jc w:val="both"/>
              <w:rPr>
                <w:b/>
                <w:i/>
                <w:sz w:val="22"/>
                <w:szCs w:val="22"/>
                <w:lang w:eastAsia="en-GB"/>
              </w:rPr>
            </w:pPr>
          </w:p>
          <w:p w14:paraId="0B9DA337" w14:textId="4A6C19F5" w:rsidR="00A8071A" w:rsidRPr="008506BD" w:rsidRDefault="00A8071A" w:rsidP="00CC3E42">
            <w:pPr>
              <w:pStyle w:val="ListParagraph"/>
              <w:numPr>
                <w:ilvl w:val="0"/>
                <w:numId w:val="4"/>
              </w:numPr>
              <w:spacing w:before="200" w:after="240"/>
              <w:jc w:val="both"/>
              <w:rPr>
                <w:b/>
                <w:i/>
                <w:sz w:val="22"/>
                <w:szCs w:val="22"/>
                <w:lang w:eastAsia="en-GB"/>
              </w:rPr>
            </w:pPr>
            <w:r w:rsidRPr="008506BD">
              <w:rPr>
                <w:b/>
                <w:i/>
                <w:sz w:val="22"/>
                <w:szCs w:val="22"/>
                <w:lang w:eastAsia="en-GB"/>
              </w:rPr>
              <w:t>EWHC welcomes the</w:t>
            </w:r>
            <w:r w:rsidR="006F161F" w:rsidRPr="008506BD">
              <w:rPr>
                <w:b/>
                <w:i/>
                <w:sz w:val="22"/>
                <w:szCs w:val="22"/>
                <w:lang w:eastAsia="en-GB"/>
              </w:rPr>
              <w:t xml:space="preserve"> decisions adopted in the online session of </w:t>
            </w:r>
            <w:r w:rsidR="00CC3E42" w:rsidRPr="008506BD">
              <w:rPr>
                <w:b/>
                <w:i/>
                <w:sz w:val="22"/>
                <w:szCs w:val="22"/>
                <w:lang w:eastAsia="en-GB"/>
              </w:rPr>
              <w:t>the Conference of the Parties at its fifteenth meeting</w:t>
            </w:r>
            <w:r w:rsidR="006F161F" w:rsidRPr="008506BD">
              <w:rPr>
                <w:b/>
                <w:i/>
                <w:sz w:val="22"/>
                <w:szCs w:val="22"/>
                <w:lang w:eastAsia="en-GB"/>
              </w:rPr>
              <w:t>, which encouraged Parties</w:t>
            </w:r>
            <w:r w:rsidR="00CC3E42" w:rsidRPr="008506BD">
              <w:rPr>
                <w:b/>
                <w:i/>
                <w:sz w:val="22"/>
                <w:szCs w:val="22"/>
                <w:lang w:eastAsia="en-GB"/>
              </w:rPr>
              <w:t xml:space="preserve"> </w:t>
            </w:r>
            <w:r w:rsidR="006F161F" w:rsidRPr="008506BD">
              <w:rPr>
                <w:b/>
                <w:i/>
                <w:sz w:val="22"/>
                <w:szCs w:val="22"/>
                <w:lang w:eastAsia="en-GB"/>
              </w:rPr>
              <w:t>to in</w:t>
            </w:r>
            <w:r w:rsidR="006F161F" w:rsidRPr="008506BD">
              <w:rPr>
                <w:b/>
                <w:i/>
                <w:sz w:val="22"/>
                <w:szCs w:val="22"/>
                <w:lang w:eastAsia="en-GB"/>
              </w:rPr>
              <w:t>clude relevant information or analyses</w:t>
            </w:r>
            <w:r w:rsidR="006F161F" w:rsidRPr="008506BD">
              <w:rPr>
                <w:b/>
                <w:i/>
                <w:sz w:val="22"/>
                <w:szCs w:val="22"/>
                <w:lang w:eastAsia="en-GB"/>
              </w:rPr>
              <w:t xml:space="preserve"> </w:t>
            </w:r>
            <w:r w:rsidR="00D84BC5" w:rsidRPr="008506BD">
              <w:rPr>
                <w:b/>
                <w:i/>
                <w:sz w:val="22"/>
                <w:szCs w:val="22"/>
                <w:lang w:eastAsia="en-GB"/>
              </w:rPr>
              <w:t>in</w:t>
            </w:r>
            <w:r w:rsidR="00CC3E42" w:rsidRPr="008506BD">
              <w:rPr>
                <w:b/>
                <w:i/>
                <w:sz w:val="22"/>
                <w:szCs w:val="22"/>
                <w:lang w:eastAsia="en-GB"/>
              </w:rPr>
              <w:t xml:space="preserve"> the</w:t>
            </w:r>
            <w:r w:rsidR="006F161F" w:rsidRPr="008506BD">
              <w:rPr>
                <w:b/>
                <w:i/>
                <w:sz w:val="22"/>
                <w:szCs w:val="22"/>
                <w:lang w:eastAsia="en-GB"/>
              </w:rPr>
              <w:t>ir</w:t>
            </w:r>
            <w:r w:rsidRPr="008506BD">
              <w:rPr>
                <w:b/>
                <w:i/>
                <w:sz w:val="22"/>
                <w:szCs w:val="22"/>
                <w:lang w:eastAsia="en-GB"/>
              </w:rPr>
              <w:t xml:space="preserve"> seventh</w:t>
            </w:r>
            <w:r w:rsidR="008506BD" w:rsidRPr="008506BD">
              <w:rPr>
                <w:b/>
                <w:i/>
                <w:sz w:val="22"/>
                <w:szCs w:val="22"/>
                <w:lang w:eastAsia="en-GB"/>
              </w:rPr>
              <w:t xml:space="preserve"> and</w:t>
            </w:r>
            <w:r w:rsidRPr="008506BD">
              <w:rPr>
                <w:b/>
                <w:i/>
                <w:sz w:val="22"/>
                <w:szCs w:val="22"/>
                <w:lang w:eastAsia="en-GB"/>
              </w:rPr>
              <w:t xml:space="preserve"> </w:t>
            </w:r>
            <w:r w:rsidR="008506BD" w:rsidRPr="008506BD">
              <w:rPr>
                <w:b/>
                <w:i/>
                <w:sz w:val="22"/>
                <w:szCs w:val="22"/>
                <w:lang w:eastAsia="en-GB"/>
              </w:rPr>
              <w:t xml:space="preserve">eight </w:t>
            </w:r>
            <w:r w:rsidRPr="008506BD">
              <w:rPr>
                <w:b/>
                <w:i/>
                <w:sz w:val="22"/>
                <w:szCs w:val="22"/>
                <w:lang w:eastAsia="en-GB"/>
              </w:rPr>
              <w:t xml:space="preserve">national </w:t>
            </w:r>
            <w:r w:rsidR="008506BD" w:rsidRPr="008506BD">
              <w:rPr>
                <w:b/>
                <w:i/>
                <w:sz w:val="22"/>
                <w:szCs w:val="22"/>
                <w:lang w:eastAsia="en-GB"/>
              </w:rPr>
              <w:t>reports</w:t>
            </w:r>
            <w:r w:rsidRPr="008506BD">
              <w:rPr>
                <w:b/>
                <w:i/>
                <w:sz w:val="22"/>
                <w:szCs w:val="22"/>
                <w:lang w:eastAsia="en-GB"/>
              </w:rPr>
              <w:t xml:space="preserve">. </w:t>
            </w:r>
          </w:p>
          <w:p w14:paraId="2B5999A4" w14:textId="77777777" w:rsidR="00A8071A" w:rsidRPr="008506BD" w:rsidRDefault="00A8071A" w:rsidP="00A8071A">
            <w:pPr>
              <w:pStyle w:val="ListParagraph"/>
              <w:rPr>
                <w:b/>
                <w:i/>
                <w:sz w:val="22"/>
                <w:szCs w:val="22"/>
                <w:lang w:eastAsia="en-GB"/>
              </w:rPr>
            </w:pPr>
          </w:p>
          <w:p w14:paraId="00426BC3" w14:textId="6D3CDDAE" w:rsidR="00AE7B80" w:rsidRPr="008506BD" w:rsidRDefault="00A8071A" w:rsidP="008506BD">
            <w:pPr>
              <w:pStyle w:val="ListParagraph"/>
              <w:numPr>
                <w:ilvl w:val="0"/>
                <w:numId w:val="4"/>
              </w:numPr>
              <w:spacing w:before="200" w:after="240"/>
              <w:jc w:val="both"/>
              <w:rPr>
                <w:i/>
                <w:sz w:val="22"/>
                <w:szCs w:val="22"/>
                <w:lang w:eastAsia="en-GB"/>
              </w:rPr>
            </w:pPr>
            <w:r w:rsidRPr="008506BD">
              <w:rPr>
                <w:b/>
                <w:i/>
                <w:sz w:val="22"/>
                <w:szCs w:val="22"/>
                <w:lang w:eastAsia="en-GB"/>
              </w:rPr>
              <w:t>This will encourage peer learning and increase synergy among Parties</w:t>
            </w:r>
            <w:r w:rsidR="00D84BC5" w:rsidRPr="008506BD">
              <w:rPr>
                <w:b/>
                <w:i/>
                <w:sz w:val="22"/>
                <w:szCs w:val="22"/>
                <w:lang w:eastAsia="en-GB"/>
              </w:rPr>
              <w:t xml:space="preserve"> in</w:t>
            </w:r>
            <w:r w:rsidR="00CC3E42" w:rsidRPr="008506BD">
              <w:rPr>
                <w:b/>
                <w:i/>
                <w:sz w:val="22"/>
                <w:szCs w:val="22"/>
                <w:lang w:eastAsia="en-GB"/>
              </w:rPr>
              <w:t xml:space="preserve"> assessing pro</w:t>
            </w:r>
            <w:r w:rsidR="008506BD" w:rsidRPr="008506BD">
              <w:rPr>
                <w:b/>
                <w:i/>
                <w:sz w:val="22"/>
                <w:szCs w:val="22"/>
                <w:lang w:eastAsia="en-GB"/>
              </w:rPr>
              <w:t>gress in implementing their</w:t>
            </w:r>
            <w:r w:rsidR="00D84BC5" w:rsidRPr="008506BD">
              <w:rPr>
                <w:b/>
                <w:i/>
                <w:sz w:val="22"/>
                <w:szCs w:val="22"/>
                <w:lang w:eastAsia="en-GB"/>
              </w:rPr>
              <w:t xml:space="preserve"> NBSAP towards </w:t>
            </w:r>
            <w:r w:rsidR="008506BD" w:rsidRPr="008506BD">
              <w:rPr>
                <w:b/>
                <w:i/>
                <w:sz w:val="22"/>
                <w:szCs w:val="22"/>
                <w:lang w:eastAsia="en-GB"/>
              </w:rPr>
              <w:t>achieving</w:t>
            </w:r>
            <w:r w:rsidR="00CC3E42" w:rsidRPr="008506BD">
              <w:rPr>
                <w:b/>
                <w:i/>
                <w:sz w:val="22"/>
                <w:szCs w:val="22"/>
                <w:lang w:eastAsia="en-GB"/>
              </w:rPr>
              <w:t xml:space="preserve"> the post-2020 global biodiversity framework</w:t>
            </w:r>
            <w:r w:rsidR="008506BD" w:rsidRPr="008506BD">
              <w:rPr>
                <w:b/>
                <w:i/>
                <w:sz w:val="22"/>
                <w:szCs w:val="22"/>
                <w:lang w:eastAsia="en-GB"/>
              </w:rPr>
              <w:t xml:space="preserve"> </w:t>
            </w:r>
            <w:r w:rsidR="008506BD" w:rsidRPr="008506BD">
              <w:rPr>
                <w:b/>
                <w:i/>
                <w:sz w:val="22"/>
                <w:szCs w:val="22"/>
                <w:lang w:eastAsia="en-GB"/>
              </w:rPr>
              <w:t>and other relevant</w:t>
            </w:r>
            <w:r w:rsidR="008506BD" w:rsidRPr="008506BD">
              <w:rPr>
                <w:b/>
                <w:i/>
                <w:sz w:val="22"/>
                <w:szCs w:val="22"/>
                <w:lang w:eastAsia="en-GB"/>
              </w:rPr>
              <w:t xml:space="preserve"> </w:t>
            </w:r>
            <w:r w:rsidR="008506BD" w:rsidRPr="008506BD">
              <w:rPr>
                <w:b/>
                <w:i/>
                <w:sz w:val="22"/>
                <w:szCs w:val="22"/>
                <w:lang w:eastAsia="en-GB"/>
              </w:rPr>
              <w:t>targets</w:t>
            </w:r>
            <w:r w:rsidR="00CC3E42" w:rsidRPr="008506BD">
              <w:rPr>
                <w:b/>
                <w:i/>
                <w:sz w:val="22"/>
                <w:szCs w:val="22"/>
                <w:lang w:eastAsia="en-GB"/>
              </w:rPr>
              <w:t>.</w:t>
            </w:r>
            <w:r w:rsidR="00CC3E42" w:rsidRPr="00CC3E42">
              <w:rPr>
                <w:i/>
                <w:sz w:val="22"/>
                <w:szCs w:val="22"/>
                <w:lang w:eastAsia="en-GB"/>
              </w:rPr>
              <w:t xml:space="preserve"> </w:t>
            </w:r>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lastRenderedPageBreak/>
              <w:t>II</w:t>
            </w:r>
          </w:p>
        </w:tc>
        <w:tc>
          <w:tcPr>
            <w:tcW w:w="8454" w:type="dxa"/>
            <w:gridSpan w:val="2"/>
          </w:tcPr>
          <w:p w14:paraId="3283D23A" w14:textId="67B19F2F" w:rsidR="000E6341"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6BB5082B" w14:textId="77777777" w:rsidR="001B3771" w:rsidRDefault="001B3771" w:rsidP="008A6047">
            <w:pPr>
              <w:rPr>
                <w:sz w:val="22"/>
                <w:szCs w:val="22"/>
              </w:rPr>
            </w:pPr>
          </w:p>
          <w:p w14:paraId="0F343C79" w14:textId="7D28CB5F" w:rsidR="001B3771" w:rsidRDefault="001B3771" w:rsidP="001B3771">
            <w:pPr>
              <w:numPr>
                <w:ilvl w:val="0"/>
                <w:numId w:val="4"/>
              </w:numPr>
              <w:rPr>
                <w:b/>
                <w:i/>
                <w:sz w:val="22"/>
                <w:szCs w:val="22"/>
              </w:rPr>
            </w:pPr>
            <w:r w:rsidRPr="001B3771">
              <w:rPr>
                <w:b/>
                <w:i/>
                <w:sz w:val="22"/>
                <w:szCs w:val="22"/>
              </w:rPr>
              <w:t>Data Reporting Tools (</w:t>
            </w:r>
            <w:proofErr w:type="spellStart"/>
            <w:r w:rsidRPr="001B3771">
              <w:rPr>
                <w:b/>
                <w:i/>
                <w:sz w:val="22"/>
                <w:szCs w:val="22"/>
              </w:rPr>
              <w:t>DaRT</w:t>
            </w:r>
            <w:proofErr w:type="spellEnd"/>
            <w:r w:rsidRPr="001B3771">
              <w:rPr>
                <w:b/>
                <w:i/>
                <w:sz w:val="22"/>
                <w:szCs w:val="22"/>
              </w:rPr>
              <w:t xml:space="preserve">) </w:t>
            </w:r>
            <w:r>
              <w:rPr>
                <w:b/>
                <w:i/>
                <w:sz w:val="22"/>
                <w:szCs w:val="22"/>
              </w:rPr>
              <w:t>remains a viable instrument to enhance the process of preparation of</w:t>
            </w:r>
            <w:r w:rsidRPr="001B3771">
              <w:rPr>
                <w:b/>
                <w:i/>
                <w:sz w:val="22"/>
                <w:szCs w:val="22"/>
              </w:rPr>
              <w:t xml:space="preserve"> report</w:t>
            </w:r>
            <w:r>
              <w:rPr>
                <w:b/>
                <w:i/>
                <w:sz w:val="22"/>
                <w:szCs w:val="22"/>
              </w:rPr>
              <w:t xml:space="preserve">s. </w:t>
            </w:r>
          </w:p>
          <w:p w14:paraId="4F321A7E" w14:textId="77777777" w:rsidR="001B3771" w:rsidRDefault="001B3771" w:rsidP="001B3771">
            <w:pPr>
              <w:ind w:left="720"/>
              <w:rPr>
                <w:b/>
                <w:i/>
                <w:sz w:val="22"/>
                <w:szCs w:val="22"/>
              </w:rPr>
            </w:pPr>
          </w:p>
          <w:p w14:paraId="3B2D7038" w14:textId="6200AE78" w:rsidR="001B3771" w:rsidRDefault="001B3771" w:rsidP="001B3771">
            <w:pPr>
              <w:numPr>
                <w:ilvl w:val="0"/>
                <w:numId w:val="4"/>
              </w:numPr>
              <w:rPr>
                <w:b/>
                <w:i/>
                <w:sz w:val="22"/>
                <w:szCs w:val="22"/>
              </w:rPr>
            </w:pPr>
            <w:r w:rsidRPr="001B3771">
              <w:rPr>
                <w:b/>
                <w:i/>
                <w:sz w:val="22"/>
                <w:szCs w:val="22"/>
              </w:rPr>
              <w:t xml:space="preserve">EWHC welcomes CBD/SBI/3/CRP5, paragraph 16, which requested the Executive Secretary to facilitate the use of relevant tools, including the </w:t>
            </w:r>
            <w:proofErr w:type="spellStart"/>
            <w:r w:rsidRPr="001B3771">
              <w:rPr>
                <w:b/>
                <w:i/>
                <w:sz w:val="22"/>
                <w:szCs w:val="22"/>
              </w:rPr>
              <w:t>DaRT</w:t>
            </w:r>
            <w:proofErr w:type="spellEnd"/>
            <w:r w:rsidRPr="001B3771">
              <w:rPr>
                <w:b/>
                <w:i/>
                <w:sz w:val="22"/>
                <w:szCs w:val="22"/>
              </w:rPr>
              <w:t xml:space="preserve">, to facilitate national reporting. </w:t>
            </w:r>
          </w:p>
          <w:p w14:paraId="327E2586" w14:textId="77777777" w:rsidR="001B3771" w:rsidRPr="001B3771" w:rsidRDefault="001B3771" w:rsidP="001B3771">
            <w:pPr>
              <w:rPr>
                <w:b/>
                <w:i/>
                <w:sz w:val="22"/>
                <w:szCs w:val="22"/>
              </w:rPr>
            </w:pPr>
          </w:p>
          <w:p w14:paraId="5936D994" w14:textId="7D7E9F34" w:rsidR="001B3771" w:rsidRDefault="001B3771" w:rsidP="001B3771">
            <w:pPr>
              <w:numPr>
                <w:ilvl w:val="0"/>
                <w:numId w:val="4"/>
              </w:numPr>
              <w:rPr>
                <w:b/>
                <w:i/>
                <w:sz w:val="22"/>
                <w:szCs w:val="22"/>
              </w:rPr>
            </w:pPr>
            <w:r w:rsidRPr="001B3771">
              <w:rPr>
                <w:b/>
                <w:i/>
                <w:sz w:val="22"/>
                <w:szCs w:val="22"/>
              </w:rPr>
              <w:t>We recognize this</w:t>
            </w:r>
            <w:r>
              <w:rPr>
                <w:b/>
                <w:i/>
                <w:sz w:val="22"/>
                <w:szCs w:val="22"/>
              </w:rPr>
              <w:t xml:space="preserve"> as a relevant </w:t>
            </w:r>
            <w:r w:rsidRPr="001B3771">
              <w:rPr>
                <w:b/>
                <w:i/>
                <w:sz w:val="22"/>
                <w:szCs w:val="22"/>
              </w:rPr>
              <w:t>t</w:t>
            </w:r>
            <w:r>
              <w:rPr>
                <w:b/>
                <w:i/>
                <w:sz w:val="22"/>
                <w:szCs w:val="22"/>
              </w:rPr>
              <w:t>ool</w:t>
            </w:r>
            <w:r w:rsidRPr="001B3771">
              <w:rPr>
                <w:b/>
                <w:i/>
                <w:sz w:val="22"/>
                <w:szCs w:val="22"/>
              </w:rPr>
              <w:t xml:space="preserve"> to encourage information sharing and encourage parties with limited capacities to update their National Reports. </w:t>
            </w:r>
          </w:p>
          <w:p w14:paraId="210EEB02" w14:textId="77777777" w:rsidR="001B3771" w:rsidRPr="001B3771" w:rsidRDefault="001B3771" w:rsidP="001B3771">
            <w:pPr>
              <w:rPr>
                <w:b/>
                <w:i/>
                <w:sz w:val="22"/>
                <w:szCs w:val="22"/>
              </w:rPr>
            </w:pPr>
          </w:p>
          <w:p w14:paraId="4D67C78F" w14:textId="6B5F4727" w:rsidR="00AE7B80" w:rsidRPr="00762C36" w:rsidRDefault="001B3771" w:rsidP="008A6047">
            <w:pPr>
              <w:numPr>
                <w:ilvl w:val="0"/>
                <w:numId w:val="4"/>
              </w:numPr>
              <w:rPr>
                <w:b/>
                <w:i/>
                <w:sz w:val="22"/>
                <w:szCs w:val="22"/>
              </w:rPr>
            </w:pPr>
            <w:r w:rsidRPr="001B3771">
              <w:rPr>
                <w:b/>
                <w:i/>
                <w:sz w:val="22"/>
                <w:szCs w:val="22"/>
              </w:rPr>
              <w:t xml:space="preserve">To reference </w:t>
            </w:r>
            <w:proofErr w:type="spellStart"/>
            <w:r w:rsidRPr="001B3771">
              <w:rPr>
                <w:b/>
                <w:i/>
                <w:sz w:val="22"/>
                <w:szCs w:val="22"/>
              </w:rPr>
              <w:t>DaRT</w:t>
            </w:r>
            <w:proofErr w:type="spellEnd"/>
            <w:r w:rsidRPr="001B3771">
              <w:rPr>
                <w:b/>
                <w:i/>
                <w:sz w:val="22"/>
                <w:szCs w:val="22"/>
              </w:rPr>
              <w:t>, as indicated in document CBD/SBI/3/11/Add.1/Amend.1, Annex, paragraph 12-13 is required to maintain consistent and streamlined reporting, especially for the Parties that are yet published their national report.</w:t>
            </w:r>
          </w:p>
          <w:p w14:paraId="1FB20CA9" w14:textId="0624D0B8" w:rsidR="00AE7B80" w:rsidRPr="008A6047" w:rsidRDefault="00AE7B80" w:rsidP="008A6047">
            <w:pPr>
              <w:rPr>
                <w:sz w:val="22"/>
                <w:szCs w:val="22"/>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6A94E0CB"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6BCC6EB9" w14:textId="77777777" w:rsidR="0091487B" w:rsidRPr="0091487B" w:rsidRDefault="0091487B" w:rsidP="0091487B">
            <w:pPr>
              <w:rPr>
                <w:b/>
                <w:i/>
                <w:sz w:val="22"/>
                <w:szCs w:val="22"/>
              </w:rPr>
            </w:pPr>
          </w:p>
          <w:p w14:paraId="22CF89F4" w14:textId="3C341355" w:rsidR="00AE7B80" w:rsidRPr="0011468E" w:rsidRDefault="008412A8" w:rsidP="0011468E">
            <w:pPr>
              <w:numPr>
                <w:ilvl w:val="0"/>
                <w:numId w:val="5"/>
              </w:numPr>
              <w:rPr>
                <w:b/>
                <w:i/>
                <w:sz w:val="22"/>
                <w:szCs w:val="22"/>
              </w:rPr>
            </w:pPr>
            <w:r w:rsidRPr="0091487B">
              <w:rPr>
                <w:b/>
                <w:i/>
                <w:sz w:val="22"/>
                <w:szCs w:val="22"/>
              </w:rPr>
              <w:t>As a strategy towards mainstreaming biodiversity as the basic instrument to drive the Post-2020 Global Biodiversity Framework, Parties should be encouraged to review decision IX/8 and decision X/2 which are the main COP decision that provide direct guidance for National Biodiversity Strategies and Action Plan (NBSAP). It will also build credibility and transparency in biodiversity system</w:t>
            </w:r>
            <w:r w:rsidR="0091487B" w:rsidRPr="0091487B">
              <w:rPr>
                <w:b/>
                <w:i/>
                <w:sz w:val="22"/>
                <w:szCs w:val="22"/>
              </w:rPr>
              <w:t>s</w:t>
            </w:r>
            <w:r w:rsidRPr="0091487B">
              <w:rPr>
                <w:b/>
                <w:i/>
                <w:sz w:val="22"/>
                <w:szCs w:val="22"/>
              </w:rPr>
              <w:t>,</w:t>
            </w:r>
            <w:r w:rsidR="0091487B" w:rsidRPr="0091487B">
              <w:rPr>
                <w:b/>
                <w:i/>
                <w:sz w:val="22"/>
                <w:szCs w:val="22"/>
              </w:rPr>
              <w:t xml:space="preserve"> to promote public awareness,</w:t>
            </w:r>
            <w:r w:rsidRPr="0091487B">
              <w:rPr>
                <w:b/>
                <w:i/>
                <w:sz w:val="22"/>
                <w:szCs w:val="22"/>
              </w:rPr>
              <w:t xml:space="preserve"> education</w:t>
            </w:r>
            <w:r w:rsidR="0091487B" w:rsidRPr="0091487B">
              <w:rPr>
                <w:b/>
                <w:i/>
                <w:sz w:val="22"/>
                <w:szCs w:val="22"/>
              </w:rPr>
              <w:t xml:space="preserve"> and</w:t>
            </w:r>
            <w:r w:rsidRPr="0091487B">
              <w:rPr>
                <w:b/>
                <w:i/>
                <w:sz w:val="22"/>
                <w:szCs w:val="22"/>
              </w:rPr>
              <w:t xml:space="preserve"> motivate public discussions on biodiversity and its significance to ecology, economy, life and services.</w:t>
            </w:r>
            <w:r w:rsidR="0091487B" w:rsidRPr="0091487B">
              <w:rPr>
                <w:b/>
                <w:i/>
                <w:sz w:val="22"/>
                <w:szCs w:val="22"/>
              </w:rPr>
              <w:t xml:space="preserve"> </w:t>
            </w:r>
          </w:p>
          <w:p w14:paraId="5F267497" w14:textId="6C80C341" w:rsidR="00AE7B80" w:rsidRPr="008A6047" w:rsidRDefault="00AE7B80" w:rsidP="008A6047">
            <w:pPr>
              <w:rPr>
                <w:sz w:val="22"/>
                <w:szCs w:val="22"/>
              </w:rPr>
            </w:pP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034A5FC9" w14:textId="5EE16369"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w:t>
            </w:r>
            <w:r w:rsidRPr="00CC3E42">
              <w:rPr>
                <w:sz w:val="22"/>
                <w:szCs w:val="22"/>
              </w:rPr>
              <w:t xml:space="preserve"> </w:t>
            </w:r>
            <w:r w:rsidR="00CC3E42" w:rsidRPr="00CC3E42">
              <w:rPr>
                <w:sz w:val="22"/>
                <w:szCs w:val="22"/>
              </w:rPr>
              <w:t>progress towards the 2050 goals of the post-2020 global biodiversity framework.</w:t>
            </w:r>
          </w:p>
          <w:p w14:paraId="34D66D9C" w14:textId="77777777" w:rsidR="0011468E" w:rsidRDefault="0011468E" w:rsidP="008A6047">
            <w:pPr>
              <w:rPr>
                <w:sz w:val="22"/>
                <w:szCs w:val="22"/>
              </w:rPr>
            </w:pPr>
          </w:p>
          <w:p w14:paraId="3BFF3266" w14:textId="77777777" w:rsidR="00CC3E42" w:rsidRDefault="0011468E" w:rsidP="0011468E">
            <w:pPr>
              <w:numPr>
                <w:ilvl w:val="0"/>
                <w:numId w:val="5"/>
              </w:numPr>
              <w:rPr>
                <w:b/>
                <w:i/>
                <w:sz w:val="22"/>
                <w:szCs w:val="22"/>
              </w:rPr>
            </w:pPr>
            <w:r w:rsidRPr="0011468E">
              <w:rPr>
                <w:b/>
                <w:i/>
                <w:sz w:val="22"/>
                <w:szCs w:val="22"/>
              </w:rPr>
              <w:t xml:space="preserve">There is urgent need to develop and establish biodiversity systems and institutions, to promote and coordinate biodiversity actions, required to mainstream and integrate biodiversity in all relevant economic sectors and national policies. </w:t>
            </w:r>
          </w:p>
          <w:p w14:paraId="735F977D" w14:textId="77777777" w:rsidR="00CC3E42" w:rsidRDefault="00CC3E42" w:rsidP="00CC3E42">
            <w:pPr>
              <w:ind w:left="720"/>
              <w:rPr>
                <w:b/>
                <w:i/>
                <w:sz w:val="22"/>
                <w:szCs w:val="22"/>
              </w:rPr>
            </w:pPr>
          </w:p>
          <w:p w14:paraId="33649AAF" w14:textId="19E6EF99" w:rsidR="00D6078A" w:rsidRPr="00762C36" w:rsidRDefault="0011468E" w:rsidP="008A6047">
            <w:pPr>
              <w:numPr>
                <w:ilvl w:val="0"/>
                <w:numId w:val="5"/>
              </w:numPr>
              <w:rPr>
                <w:b/>
                <w:i/>
                <w:sz w:val="22"/>
                <w:szCs w:val="22"/>
              </w:rPr>
            </w:pPr>
            <w:r w:rsidRPr="0011468E">
              <w:rPr>
                <w:b/>
                <w:i/>
                <w:sz w:val="22"/>
                <w:szCs w:val="22"/>
              </w:rPr>
              <w:t>This approach should involve multiple transformative transitions and effective inclusiveness of non-state actors.</w:t>
            </w:r>
            <w:r>
              <w:rPr>
                <w:b/>
                <w:i/>
                <w:sz w:val="22"/>
                <w:szCs w:val="22"/>
              </w:rPr>
              <w:t xml:space="preserve">to </w:t>
            </w:r>
            <w:proofErr w:type="gramStart"/>
            <w:r>
              <w:rPr>
                <w:b/>
                <w:i/>
                <w:sz w:val="22"/>
                <w:szCs w:val="22"/>
              </w:rPr>
              <w:t>ensure</w:t>
            </w:r>
            <w:proofErr w:type="gramEnd"/>
            <w:r>
              <w:rPr>
                <w:b/>
                <w:i/>
                <w:sz w:val="22"/>
                <w:szCs w:val="22"/>
              </w:rPr>
              <w:t xml:space="preserve"> </w:t>
            </w:r>
            <w:r w:rsidRPr="0011468E">
              <w:rPr>
                <w:b/>
                <w:i/>
                <w:sz w:val="22"/>
                <w:szCs w:val="22"/>
              </w:rPr>
              <w:t>progress towards the 2050 goals of the post-2020 global biodiversity framework</w:t>
            </w:r>
            <w:r>
              <w:rPr>
                <w:b/>
                <w:i/>
                <w:sz w:val="22"/>
                <w:szCs w:val="22"/>
              </w:rPr>
              <w:t>.</w:t>
            </w:r>
          </w:p>
          <w:p w14:paraId="1B92E2B4" w14:textId="57495592" w:rsidR="00D6078A" w:rsidRPr="008A6047" w:rsidRDefault="00D6078A" w:rsidP="008A6047">
            <w:pPr>
              <w:rPr>
                <w:sz w:val="22"/>
                <w:szCs w:val="22"/>
              </w:rPr>
            </w:pPr>
          </w:p>
        </w:tc>
      </w:tr>
      <w:tr w:rsidR="00AE7B80" w:rsidRPr="00200F39" w14:paraId="30930566" w14:textId="77777777" w:rsidTr="00D00B27">
        <w:trPr>
          <w:trHeight w:val="1068"/>
        </w:trPr>
        <w:tc>
          <w:tcPr>
            <w:tcW w:w="901" w:type="dxa"/>
          </w:tcPr>
          <w:p w14:paraId="7E88CD75" w14:textId="1B65DE41" w:rsidR="00AE7B80" w:rsidRPr="00200F39" w:rsidRDefault="00AE7B80" w:rsidP="00200F39">
            <w:pPr>
              <w:pStyle w:val="ListParagraph"/>
              <w:rPr>
                <w:sz w:val="22"/>
                <w:szCs w:val="22"/>
              </w:rPr>
            </w:pPr>
            <w:r w:rsidRPr="00200F39">
              <w:rPr>
                <w:sz w:val="22"/>
                <w:szCs w:val="22"/>
              </w:rPr>
              <w:lastRenderedPageBreak/>
              <w:t>V</w:t>
            </w:r>
          </w:p>
        </w:tc>
        <w:tc>
          <w:tcPr>
            <w:tcW w:w="8454" w:type="dxa"/>
            <w:gridSpan w:val="2"/>
          </w:tcPr>
          <w:p w14:paraId="12C17792" w14:textId="77777777" w:rsidR="00AE7B80" w:rsidRPr="00200F39" w:rsidRDefault="00AE7B80" w:rsidP="00200F39">
            <w:pPr>
              <w:pStyle w:val="ListParagraph"/>
              <w:rPr>
                <w:sz w:val="22"/>
                <w:szCs w:val="22"/>
              </w:rPr>
            </w:pPr>
            <w:r w:rsidRPr="00200F39">
              <w:rPr>
                <w:sz w:val="22"/>
                <w:szCs w:val="22"/>
              </w:rPr>
              <w:t>Please include comments or specific suggestions for Section V. Progress towards the 2030 action targets</w:t>
            </w:r>
          </w:p>
          <w:p w14:paraId="4D5073E4" w14:textId="77777777" w:rsidR="00200F39" w:rsidRPr="00200F39" w:rsidRDefault="00200F39" w:rsidP="008A6047">
            <w:pPr>
              <w:rPr>
                <w:sz w:val="22"/>
                <w:szCs w:val="22"/>
              </w:rPr>
            </w:pPr>
          </w:p>
          <w:p w14:paraId="334BB83F" w14:textId="2D3D0E79" w:rsidR="00200F39" w:rsidRDefault="00200F39" w:rsidP="00200F39">
            <w:pPr>
              <w:pStyle w:val="ListParagraph"/>
              <w:numPr>
                <w:ilvl w:val="0"/>
                <w:numId w:val="8"/>
              </w:numPr>
              <w:spacing w:after="160" w:line="259" w:lineRule="auto"/>
              <w:jc w:val="both"/>
              <w:rPr>
                <w:b/>
                <w:i/>
                <w:iCs/>
                <w:color w:val="000000"/>
                <w:spacing w:val="15"/>
                <w:kern w:val="24"/>
                <w:sz w:val="22"/>
                <w:szCs w:val="22"/>
              </w:rPr>
            </w:pPr>
            <w:r w:rsidRPr="00200F39">
              <w:rPr>
                <w:b/>
                <w:i/>
                <w:iCs/>
                <w:color w:val="000000"/>
                <w:spacing w:val="15"/>
                <w:sz w:val="22"/>
                <w:szCs w:val="22"/>
              </w:rPr>
              <w:t>There is urgent need to develop and establish biodiversity sy</w:t>
            </w:r>
            <w:r w:rsidR="007F5FA9">
              <w:rPr>
                <w:b/>
                <w:i/>
                <w:iCs/>
                <w:color w:val="000000"/>
                <w:spacing w:val="15"/>
                <w:sz w:val="22"/>
                <w:szCs w:val="22"/>
              </w:rPr>
              <w:t>stems and institutions</w:t>
            </w:r>
            <w:r w:rsidRPr="00200F39">
              <w:rPr>
                <w:b/>
                <w:i/>
                <w:iCs/>
                <w:color w:val="000000"/>
                <w:spacing w:val="15"/>
                <w:sz w:val="22"/>
                <w:szCs w:val="22"/>
              </w:rPr>
              <w:t xml:space="preserve"> to </w:t>
            </w:r>
            <w:r w:rsidR="007F5FA9">
              <w:rPr>
                <w:b/>
                <w:i/>
                <w:iCs/>
                <w:color w:val="4F81BD"/>
                <w:spacing w:val="15"/>
                <w:sz w:val="22"/>
                <w:szCs w:val="22"/>
                <w:lang w:val="en-GB"/>
              </w:rPr>
              <w:t>facilitate</w:t>
            </w:r>
            <w:r w:rsidR="007F5FA9" w:rsidRPr="007F5FA9">
              <w:rPr>
                <w:sz w:val="22"/>
                <w:szCs w:val="22"/>
              </w:rPr>
              <w:t xml:space="preserve"> </w:t>
            </w:r>
            <w:r w:rsidR="00AE7B80" w:rsidRPr="007F5FA9">
              <w:rPr>
                <w:b/>
                <w:i/>
                <w:iCs/>
                <w:color w:val="4F81BD"/>
                <w:spacing w:val="15"/>
                <w:sz w:val="22"/>
                <w:szCs w:val="22"/>
              </w:rPr>
              <w:t>Progress towards the 2030 action targets</w:t>
            </w:r>
            <w:r w:rsidR="007F5FA9">
              <w:rPr>
                <w:b/>
                <w:i/>
                <w:iCs/>
                <w:color w:val="4F81BD"/>
                <w:spacing w:val="15"/>
                <w:sz w:val="22"/>
                <w:szCs w:val="22"/>
              </w:rPr>
              <w:t>,</w:t>
            </w:r>
            <w:r w:rsidR="007F5FA9">
              <w:rPr>
                <w:b/>
                <w:i/>
                <w:iCs/>
                <w:color w:val="4F81BD"/>
                <w:spacing w:val="15"/>
                <w:sz w:val="22"/>
                <w:szCs w:val="22"/>
                <w:lang w:val="en-GB"/>
              </w:rPr>
              <w:t xml:space="preserve"> </w:t>
            </w:r>
            <w:r w:rsidR="007F5FA9">
              <w:rPr>
                <w:b/>
                <w:i/>
                <w:iCs/>
                <w:color w:val="000000"/>
                <w:spacing w:val="15"/>
                <w:kern w:val="24"/>
                <w:sz w:val="22"/>
                <w:szCs w:val="22"/>
              </w:rPr>
              <w:t>as well as</w:t>
            </w:r>
            <w:r w:rsidRPr="00200F39">
              <w:rPr>
                <w:b/>
                <w:i/>
                <w:iCs/>
                <w:color w:val="000000"/>
                <w:spacing w:val="15"/>
                <w:kern w:val="24"/>
                <w:sz w:val="22"/>
                <w:szCs w:val="22"/>
              </w:rPr>
              <w:t xml:space="preserve"> integrate a complex set of objectives for newly ident</w:t>
            </w:r>
            <w:r w:rsidR="007F5FA9">
              <w:rPr>
                <w:b/>
                <w:i/>
                <w:iCs/>
                <w:color w:val="000000"/>
                <w:spacing w:val="15"/>
                <w:kern w:val="24"/>
                <w:sz w:val="22"/>
                <w:szCs w:val="22"/>
              </w:rPr>
              <w:t>ified knowledge gaps and</w:t>
            </w:r>
            <w:r w:rsidRPr="00200F39">
              <w:rPr>
                <w:b/>
                <w:i/>
                <w:iCs/>
                <w:color w:val="000000"/>
                <w:spacing w:val="15"/>
                <w:kern w:val="24"/>
                <w:sz w:val="22"/>
                <w:szCs w:val="22"/>
              </w:rPr>
              <w:t xml:space="preserve"> project the need to build evidence and design trajectories.</w:t>
            </w:r>
          </w:p>
          <w:p w14:paraId="54220171" w14:textId="7AE81FCD" w:rsidR="00200F39" w:rsidRPr="00200F39" w:rsidRDefault="00200F39" w:rsidP="00200F39">
            <w:pPr>
              <w:pStyle w:val="ListParagraph"/>
              <w:spacing w:after="160" w:line="259" w:lineRule="auto"/>
              <w:jc w:val="both"/>
              <w:rPr>
                <w:b/>
                <w:i/>
                <w:iCs/>
                <w:color w:val="000000"/>
                <w:spacing w:val="15"/>
                <w:kern w:val="24"/>
                <w:sz w:val="22"/>
                <w:szCs w:val="22"/>
              </w:rPr>
            </w:pPr>
            <w:r w:rsidRPr="00200F39">
              <w:rPr>
                <w:b/>
                <w:i/>
                <w:iCs/>
                <w:color w:val="000000"/>
                <w:spacing w:val="15"/>
                <w:kern w:val="24"/>
                <w:sz w:val="22"/>
                <w:szCs w:val="22"/>
              </w:rPr>
              <w:t xml:space="preserve"> </w:t>
            </w:r>
          </w:p>
          <w:p w14:paraId="2DAC534A" w14:textId="2FF96F47" w:rsidR="007F5FA9" w:rsidRDefault="00200F39" w:rsidP="00200F39">
            <w:pPr>
              <w:pStyle w:val="ListParagraph"/>
              <w:numPr>
                <w:ilvl w:val="0"/>
                <w:numId w:val="8"/>
              </w:numPr>
              <w:spacing w:after="160" w:line="259" w:lineRule="auto"/>
              <w:jc w:val="both"/>
              <w:rPr>
                <w:b/>
                <w:i/>
                <w:iCs/>
                <w:color w:val="000000"/>
                <w:spacing w:val="15"/>
                <w:kern w:val="24"/>
                <w:sz w:val="22"/>
                <w:szCs w:val="22"/>
              </w:rPr>
            </w:pPr>
            <w:r w:rsidRPr="00200F39">
              <w:rPr>
                <w:b/>
                <w:i/>
                <w:iCs/>
                <w:color w:val="000000"/>
                <w:spacing w:val="15"/>
                <w:kern w:val="24"/>
                <w:sz w:val="22"/>
                <w:szCs w:val="22"/>
              </w:rPr>
              <w:t xml:space="preserve">It is quite remarkable that the Long-Term implementation approach of the GBF is significantly prioritized in COP 13 / </w:t>
            </w:r>
            <w:r w:rsidR="007F5FA9">
              <w:rPr>
                <w:b/>
                <w:i/>
                <w:iCs/>
                <w:color w:val="000000"/>
                <w:spacing w:val="15"/>
                <w:kern w:val="24"/>
                <w:sz w:val="22"/>
                <w:szCs w:val="22"/>
              </w:rPr>
              <w:t>14 meeting. This has strategically increased</w:t>
            </w:r>
            <w:r w:rsidRPr="00200F39">
              <w:rPr>
                <w:b/>
                <w:i/>
                <w:iCs/>
                <w:color w:val="000000"/>
                <w:spacing w:val="15"/>
                <w:kern w:val="24"/>
                <w:sz w:val="22"/>
                <w:szCs w:val="22"/>
              </w:rPr>
              <w:t xml:space="preserve"> the visibility of mainstreaming of biodiversity </w:t>
            </w:r>
            <w:r w:rsidRPr="00200F39">
              <w:rPr>
                <w:rFonts w:eastAsia="Calibri"/>
                <w:b/>
                <w:i/>
                <w:color w:val="212529"/>
                <w:sz w:val="22"/>
                <w:szCs w:val="22"/>
                <w:shd w:val="clear" w:color="auto" w:fill="FFFFFF"/>
                <w:lang w:val="en-GB"/>
              </w:rPr>
              <w:t>within and across sectors and other strategic actions, to enhance implementation</w:t>
            </w:r>
            <w:r w:rsidRPr="00200F39">
              <w:rPr>
                <w:b/>
                <w:i/>
                <w:iCs/>
                <w:color w:val="000000"/>
                <w:spacing w:val="15"/>
                <w:kern w:val="24"/>
                <w:sz w:val="22"/>
                <w:szCs w:val="22"/>
              </w:rPr>
              <w:t xml:space="preserve"> as a key element to facilitate the implementation of post-2020 Global Biodiversity Framework</w:t>
            </w:r>
            <w:r w:rsidR="003C4667">
              <w:rPr>
                <w:b/>
                <w:i/>
                <w:iCs/>
                <w:color w:val="000000"/>
                <w:spacing w:val="15"/>
                <w:kern w:val="24"/>
                <w:sz w:val="22"/>
                <w:szCs w:val="22"/>
              </w:rPr>
              <w:t>.</w:t>
            </w:r>
          </w:p>
          <w:p w14:paraId="0D5DBE32" w14:textId="77777777" w:rsidR="003C4667" w:rsidRPr="003C4667" w:rsidRDefault="003C4667" w:rsidP="003C4667">
            <w:pPr>
              <w:pStyle w:val="ListParagraph"/>
              <w:rPr>
                <w:b/>
                <w:i/>
                <w:iCs/>
                <w:color w:val="000000"/>
                <w:spacing w:val="15"/>
                <w:kern w:val="24"/>
                <w:sz w:val="22"/>
                <w:szCs w:val="22"/>
              </w:rPr>
            </w:pPr>
          </w:p>
          <w:p w14:paraId="330134DE" w14:textId="48CB6E1B" w:rsidR="00762C36" w:rsidRPr="00762C36" w:rsidRDefault="003C4667" w:rsidP="00762C36">
            <w:pPr>
              <w:pStyle w:val="ListParagraph"/>
              <w:numPr>
                <w:ilvl w:val="0"/>
                <w:numId w:val="8"/>
              </w:numPr>
              <w:spacing w:after="160" w:line="259" w:lineRule="auto"/>
              <w:jc w:val="both"/>
              <w:rPr>
                <w:b/>
                <w:i/>
                <w:iCs/>
                <w:color w:val="000000"/>
                <w:spacing w:val="15"/>
                <w:kern w:val="24"/>
                <w:sz w:val="22"/>
                <w:szCs w:val="22"/>
              </w:rPr>
            </w:pPr>
            <w:r>
              <w:rPr>
                <w:i/>
                <w:sz w:val="22"/>
                <w:szCs w:val="22"/>
                <w:lang w:eastAsia="en-GB"/>
              </w:rPr>
              <w:t>There is also a need to incorporate guidelines</w:t>
            </w:r>
            <w:r w:rsidRPr="003C4667">
              <w:rPr>
                <w:i/>
                <w:sz w:val="22"/>
                <w:szCs w:val="22"/>
                <w:lang w:eastAsia="en-GB"/>
              </w:rPr>
              <w:t xml:space="preserve"> on integrating a gender perspective</w:t>
            </w:r>
            <w:r>
              <w:rPr>
                <w:i/>
                <w:sz w:val="22"/>
                <w:szCs w:val="22"/>
                <w:lang w:eastAsia="en-GB"/>
              </w:rPr>
              <w:t xml:space="preserve"> in accordance with paragraph 9.</w:t>
            </w:r>
          </w:p>
          <w:p w14:paraId="4A45BC4A" w14:textId="77777777" w:rsidR="00762C36" w:rsidRPr="00762C36" w:rsidRDefault="00762C36" w:rsidP="00762C36">
            <w:pPr>
              <w:spacing w:after="160" w:line="259" w:lineRule="auto"/>
              <w:jc w:val="both"/>
              <w:rPr>
                <w:b/>
                <w:i/>
                <w:iCs/>
                <w:color w:val="000000"/>
                <w:spacing w:val="15"/>
                <w:kern w:val="24"/>
                <w:sz w:val="22"/>
                <w:szCs w:val="22"/>
              </w:rPr>
            </w:pPr>
          </w:p>
          <w:p w14:paraId="4C118B9E" w14:textId="77777777" w:rsidR="00200F39" w:rsidRPr="007F5FA9" w:rsidRDefault="00200F39" w:rsidP="00200F39">
            <w:pPr>
              <w:pStyle w:val="ListParagraph"/>
              <w:numPr>
                <w:ilvl w:val="0"/>
                <w:numId w:val="8"/>
              </w:numPr>
              <w:spacing w:after="160" w:line="259" w:lineRule="auto"/>
              <w:jc w:val="both"/>
              <w:rPr>
                <w:b/>
                <w:i/>
                <w:iCs/>
                <w:spacing w:val="15"/>
                <w:sz w:val="22"/>
                <w:szCs w:val="22"/>
                <w:lang w:val="en-GB" w:eastAsia="en-GB"/>
              </w:rPr>
            </w:pPr>
            <w:r w:rsidRPr="00200F39">
              <w:rPr>
                <w:b/>
                <w:i/>
                <w:iCs/>
                <w:color w:val="000000"/>
                <w:spacing w:val="15"/>
                <w:kern w:val="24"/>
                <w:sz w:val="22"/>
                <w:szCs w:val="22"/>
              </w:rPr>
              <w:t xml:space="preserve">With focus on the CBD/SBI/3/13, </w:t>
            </w:r>
            <w:r w:rsidRPr="00200F39">
              <w:rPr>
                <w:b/>
                <w:i/>
                <w:iCs/>
                <w:color w:val="4F81BD"/>
                <w:spacing w:val="15"/>
                <w:sz w:val="22"/>
                <w:szCs w:val="22"/>
                <w:lang w:val="en-GB"/>
              </w:rPr>
              <w:t>there is urgent need to mobilize strategic</w:t>
            </w:r>
            <w:r w:rsidRPr="00200F39">
              <w:rPr>
                <w:b/>
                <w:i/>
                <w:iCs/>
                <w:color w:val="4F81BD"/>
                <w:spacing w:val="15"/>
                <w:sz w:val="22"/>
                <w:szCs w:val="22"/>
              </w:rPr>
              <w:t xml:space="preserve"> plans and actions</w:t>
            </w:r>
            <w:r w:rsidRPr="00200F39">
              <w:rPr>
                <w:rFonts w:eastAsia="Arial"/>
                <w:b/>
                <w:i/>
                <w:iCs/>
                <w:color w:val="000000"/>
                <w:spacing w:val="15"/>
                <w:sz w:val="22"/>
                <w:szCs w:val="22"/>
              </w:rPr>
              <w:t xml:space="preserve"> to galvanize urgent and transformative actions by governments and all of societies; and engage more non-state actors in </w:t>
            </w:r>
            <w:r w:rsidRPr="00200F39">
              <w:rPr>
                <w:b/>
                <w:i/>
                <w:iCs/>
                <w:color w:val="000000"/>
                <w:spacing w:val="15"/>
                <w:kern w:val="24"/>
                <w:sz w:val="22"/>
                <w:szCs w:val="22"/>
              </w:rPr>
              <w:t>the Implementation Plan of the framework.</w:t>
            </w:r>
          </w:p>
          <w:p w14:paraId="36824EF4" w14:textId="77777777" w:rsidR="007F5FA9" w:rsidRPr="00200F39" w:rsidRDefault="007F5FA9" w:rsidP="007F5FA9">
            <w:pPr>
              <w:pStyle w:val="ListParagraph"/>
              <w:spacing w:after="160" w:line="259" w:lineRule="auto"/>
              <w:jc w:val="both"/>
              <w:rPr>
                <w:b/>
                <w:i/>
                <w:iCs/>
                <w:spacing w:val="15"/>
                <w:sz w:val="22"/>
                <w:szCs w:val="22"/>
                <w:lang w:val="en-GB" w:eastAsia="en-GB"/>
              </w:rPr>
            </w:pPr>
          </w:p>
          <w:p w14:paraId="227AD9FB" w14:textId="2D65DF3B" w:rsidR="00200F39" w:rsidRPr="00200F39" w:rsidRDefault="00200F39" w:rsidP="00200F39">
            <w:pPr>
              <w:pStyle w:val="ListParagraph"/>
              <w:numPr>
                <w:ilvl w:val="0"/>
                <w:numId w:val="8"/>
              </w:numPr>
              <w:rPr>
                <w:b/>
                <w:i/>
                <w:sz w:val="22"/>
                <w:szCs w:val="22"/>
              </w:rPr>
            </w:pPr>
            <w:r w:rsidRPr="00200F39">
              <w:rPr>
                <w:rFonts w:eastAsia="Calibri"/>
                <w:b/>
                <w:i/>
                <w:color w:val="000000"/>
                <w:kern w:val="24"/>
                <w:sz w:val="22"/>
                <w:szCs w:val="22"/>
              </w:rPr>
              <w:t>In furtherance of biodiversity and biosafety commitment,</w:t>
            </w:r>
            <w:r w:rsidRPr="00200F39">
              <w:rPr>
                <w:rFonts w:eastAsia="Calibri"/>
                <w:b/>
                <w:i/>
                <w:sz w:val="22"/>
                <w:szCs w:val="22"/>
                <w:lang w:val="en-GB"/>
              </w:rPr>
              <w:t xml:space="preserve"> </w:t>
            </w:r>
            <w:r w:rsidR="007F5FA9">
              <w:rPr>
                <w:b/>
                <w:i/>
                <w:color w:val="000000"/>
                <w:kern w:val="24"/>
                <w:sz w:val="22"/>
                <w:szCs w:val="22"/>
              </w:rPr>
              <w:t>EWHC</w:t>
            </w:r>
            <w:r w:rsidRPr="00200F39">
              <w:rPr>
                <w:b/>
                <w:i/>
                <w:color w:val="000000"/>
                <w:kern w:val="24"/>
                <w:sz w:val="22"/>
                <w:szCs w:val="22"/>
              </w:rPr>
              <w:t xml:space="preserve"> requests that there should be</w:t>
            </w:r>
            <w:r w:rsidRPr="00200F39">
              <w:rPr>
                <w:rFonts w:eastAsia="Calibri"/>
                <w:b/>
                <w:i/>
                <w:sz w:val="22"/>
                <w:szCs w:val="22"/>
              </w:rPr>
              <w:t xml:space="preserve"> adequate motivation to disseminate proper information on implementation strategies,</w:t>
            </w:r>
            <w:r w:rsidRPr="00200F39">
              <w:rPr>
                <w:rFonts w:eastAsia="Calibri"/>
                <w:b/>
                <w:i/>
                <w:color w:val="00483A"/>
                <w:spacing w:val="6"/>
                <w:sz w:val="22"/>
                <w:szCs w:val="22"/>
              </w:rPr>
              <w:t xml:space="preserve"> </w:t>
            </w:r>
            <w:r w:rsidRPr="00200F39">
              <w:rPr>
                <w:rFonts w:eastAsia="Calibri"/>
                <w:b/>
                <w:i/>
                <w:color w:val="000000"/>
                <w:spacing w:val="6"/>
                <w:sz w:val="22"/>
                <w:szCs w:val="22"/>
              </w:rPr>
              <w:t xml:space="preserve">to mainstream biodiversity for </w:t>
            </w:r>
            <w:proofErr w:type="gramStart"/>
            <w:r w:rsidRPr="00200F39">
              <w:rPr>
                <w:rFonts w:eastAsia="Calibri"/>
                <w:b/>
                <w:i/>
                <w:color w:val="000000"/>
                <w:spacing w:val="6"/>
                <w:sz w:val="22"/>
                <w:szCs w:val="22"/>
              </w:rPr>
              <w:t>the</w:t>
            </w:r>
            <w:r w:rsidR="003C4667">
              <w:rPr>
                <w:rFonts w:eastAsia="Calibri"/>
                <w:b/>
                <w:i/>
                <w:color w:val="000000"/>
                <w:spacing w:val="6"/>
                <w:sz w:val="22"/>
                <w:szCs w:val="22"/>
              </w:rPr>
              <w:t xml:space="preserve"> to</w:t>
            </w:r>
            <w:proofErr w:type="gramEnd"/>
            <w:r w:rsidR="003C4667">
              <w:rPr>
                <w:rFonts w:eastAsia="Calibri"/>
                <w:b/>
                <w:i/>
                <w:color w:val="000000"/>
                <w:spacing w:val="6"/>
                <w:sz w:val="22"/>
                <w:szCs w:val="22"/>
              </w:rPr>
              <w:t xml:space="preserve"> achieve the 2030action target.</w:t>
            </w:r>
            <w:r w:rsidRPr="00200F39">
              <w:rPr>
                <w:rFonts w:eastAsia="Calibri"/>
                <w:b/>
                <w:i/>
                <w:color w:val="000000"/>
                <w:spacing w:val="6"/>
                <w:sz w:val="22"/>
                <w:szCs w:val="22"/>
              </w:rPr>
              <w:t> </w:t>
            </w:r>
            <w:r w:rsidRPr="00200F39">
              <w:rPr>
                <w:b/>
                <w:i/>
                <w:color w:val="000000"/>
                <w:kern w:val="24"/>
                <w:sz w:val="22"/>
                <w:szCs w:val="22"/>
              </w:rPr>
              <w:t xml:space="preserve"> </w:t>
            </w:r>
          </w:p>
          <w:p w14:paraId="2EFF31BE" w14:textId="77777777" w:rsidR="00200F39" w:rsidRPr="00200F39" w:rsidRDefault="00200F39" w:rsidP="008A6047">
            <w:pPr>
              <w:rPr>
                <w:sz w:val="22"/>
                <w:szCs w:val="22"/>
              </w:rPr>
            </w:pPr>
          </w:p>
          <w:p w14:paraId="0F2420C4" w14:textId="77777777" w:rsidR="00200F39" w:rsidRPr="00200F39" w:rsidRDefault="00200F39" w:rsidP="008A6047">
            <w:pPr>
              <w:rPr>
                <w:sz w:val="22"/>
                <w:szCs w:val="22"/>
              </w:rPr>
            </w:pPr>
          </w:p>
          <w:p w14:paraId="4B30F77B" w14:textId="0EEC1A81" w:rsidR="00AE7B80" w:rsidRPr="00200F39" w:rsidRDefault="00AE7B80" w:rsidP="008A6047">
            <w:pPr>
              <w:rPr>
                <w:sz w:val="22"/>
                <w:szCs w:val="22"/>
              </w:rPr>
            </w:pPr>
          </w:p>
        </w:tc>
      </w:tr>
    </w:tbl>
    <w:p w14:paraId="48DAF900" w14:textId="490A82E0" w:rsidR="00B51493" w:rsidRPr="00200F39" w:rsidRDefault="00B51493" w:rsidP="00200F39">
      <w:pPr>
        <w:ind w:firstLine="60"/>
        <w:jc w:val="both"/>
        <w:rPr>
          <w:sz w:val="22"/>
          <w:szCs w:val="22"/>
        </w:rPr>
      </w:pPr>
    </w:p>
    <w:sectPr w:rsidR="00B51493" w:rsidRPr="00200F39"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E9D5A" w14:textId="77777777" w:rsidR="00AF7205" w:rsidRDefault="00AF7205" w:rsidP="00AE7B5B">
      <w:r>
        <w:separator/>
      </w:r>
    </w:p>
  </w:endnote>
  <w:endnote w:type="continuationSeparator" w:id="0">
    <w:p w14:paraId="030CAAAC" w14:textId="77777777" w:rsidR="00AF7205" w:rsidRDefault="00AF7205"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C6EC3" w14:textId="77777777" w:rsidR="00AF7205" w:rsidRDefault="00AF7205" w:rsidP="00AE7B5B">
      <w:r>
        <w:separator/>
      </w:r>
    </w:p>
  </w:footnote>
  <w:footnote w:type="continuationSeparator" w:id="0">
    <w:p w14:paraId="349291FC" w14:textId="77777777" w:rsidR="00AF7205" w:rsidRDefault="00AF7205"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8FC"/>
    <w:multiLevelType w:val="hybridMultilevel"/>
    <w:tmpl w:val="923EBD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63A5C"/>
    <w:multiLevelType w:val="hybridMultilevel"/>
    <w:tmpl w:val="5B706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574FB"/>
    <w:multiLevelType w:val="hybridMultilevel"/>
    <w:tmpl w:val="2E7A5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75EB1"/>
    <w:multiLevelType w:val="hybridMultilevel"/>
    <w:tmpl w:val="F1DA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E78DB"/>
    <w:multiLevelType w:val="hybridMultilevel"/>
    <w:tmpl w:val="617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461F6"/>
    <w:multiLevelType w:val="hybridMultilevel"/>
    <w:tmpl w:val="B4326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86FBD"/>
    <w:multiLevelType w:val="hybridMultilevel"/>
    <w:tmpl w:val="FF48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562E1"/>
    <w:multiLevelType w:val="hybridMultilevel"/>
    <w:tmpl w:val="447E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CA"/>
    <w:rsid w:val="000E6341"/>
    <w:rsid w:val="0011468E"/>
    <w:rsid w:val="0016656C"/>
    <w:rsid w:val="001970D9"/>
    <w:rsid w:val="001B3771"/>
    <w:rsid w:val="00200F39"/>
    <w:rsid w:val="00236608"/>
    <w:rsid w:val="00377C05"/>
    <w:rsid w:val="003A531B"/>
    <w:rsid w:val="003A5641"/>
    <w:rsid w:val="003C4667"/>
    <w:rsid w:val="00414EDF"/>
    <w:rsid w:val="004B4EDA"/>
    <w:rsid w:val="0053632F"/>
    <w:rsid w:val="005558F7"/>
    <w:rsid w:val="0059549C"/>
    <w:rsid w:val="005A00B2"/>
    <w:rsid w:val="00617896"/>
    <w:rsid w:val="00636433"/>
    <w:rsid w:val="00647F74"/>
    <w:rsid w:val="006F161F"/>
    <w:rsid w:val="00762C36"/>
    <w:rsid w:val="007C458E"/>
    <w:rsid w:val="007F5FA9"/>
    <w:rsid w:val="008412A8"/>
    <w:rsid w:val="008506BD"/>
    <w:rsid w:val="008A6047"/>
    <w:rsid w:val="008D0017"/>
    <w:rsid w:val="008D34B8"/>
    <w:rsid w:val="008E7015"/>
    <w:rsid w:val="008F549C"/>
    <w:rsid w:val="0091487B"/>
    <w:rsid w:val="009A6B72"/>
    <w:rsid w:val="009C30DA"/>
    <w:rsid w:val="009D02D5"/>
    <w:rsid w:val="00A219C1"/>
    <w:rsid w:val="00A8071A"/>
    <w:rsid w:val="00AD15C3"/>
    <w:rsid w:val="00AE7B5B"/>
    <w:rsid w:val="00AE7B80"/>
    <w:rsid w:val="00AE7F55"/>
    <w:rsid w:val="00AF4AD0"/>
    <w:rsid w:val="00AF7205"/>
    <w:rsid w:val="00B51493"/>
    <w:rsid w:val="00B55DED"/>
    <w:rsid w:val="00BC0E48"/>
    <w:rsid w:val="00BC32B2"/>
    <w:rsid w:val="00CC3E42"/>
    <w:rsid w:val="00D00B27"/>
    <w:rsid w:val="00D6078A"/>
    <w:rsid w:val="00D677A0"/>
    <w:rsid w:val="00D84BC5"/>
    <w:rsid w:val="00D93CCA"/>
    <w:rsid w:val="00DB27DE"/>
    <w:rsid w:val="00F33D34"/>
    <w:rsid w:val="00FB381C"/>
    <w:rsid w:val="00FC17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uiPriority w:val="34"/>
    <w:qFormat/>
    <w:rsid w:val="00595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uiPriority w:val="34"/>
    <w:qFormat/>
    <w:rsid w:val="00595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Noonan Mooney</dc:creator>
  <cp:lastModifiedBy>hp</cp:lastModifiedBy>
  <cp:revision>2</cp:revision>
  <dcterms:created xsi:type="dcterms:W3CDTF">2022-05-08T03:31:00Z</dcterms:created>
  <dcterms:modified xsi:type="dcterms:W3CDTF">2022-05-08T03:31:00Z</dcterms:modified>
</cp:coreProperties>
</file>